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145" w:rsidRPr="0012521E" w:rsidRDefault="0012521E">
      <w:pPr>
        <w:rPr>
          <w:rFonts w:ascii="Calibri" w:eastAsia="Calibri" w:hAnsi="Calibri" w:cs="Calibri"/>
          <w:b/>
          <w:u w:val="single"/>
        </w:rPr>
      </w:pPr>
      <w:bookmarkStart w:id="0" w:name="_GoBack"/>
      <w:bookmarkEnd w:id="0"/>
      <w:r w:rsidRPr="0012521E">
        <w:rPr>
          <w:rFonts w:ascii="Calibri" w:eastAsia="Calibri" w:hAnsi="Calibri" w:cs="Calibri"/>
          <w:b/>
          <w:u w:val="single"/>
        </w:rPr>
        <w:t>GT – PRIORIDADES DE OUTORGA - GRUPO DE TRABALHO TEMPORÁRIO – CTPOAR- CNRH</w:t>
      </w:r>
    </w:p>
    <w:p w:rsidR="00052CEF" w:rsidRPr="00052CEF" w:rsidRDefault="00052CEF" w:rsidP="00052CEF">
      <w:pPr>
        <w:jc w:val="both"/>
        <w:rPr>
          <w:rFonts w:ascii="Calibri" w:eastAsia="Calibri" w:hAnsi="Calibri" w:cs="Calibri"/>
        </w:rPr>
      </w:pPr>
      <w:r w:rsidRPr="00052CEF">
        <w:rPr>
          <w:rFonts w:ascii="Calibri" w:eastAsia="Calibri" w:hAnsi="Calibri" w:cs="Calibri"/>
        </w:rPr>
        <w:t xml:space="preserve">Considerando as competências específicas atribuídas ao CNRH no Art. 35 da Lei </w:t>
      </w:r>
      <w:r>
        <w:rPr>
          <w:rFonts w:ascii="Calibri" w:eastAsia="Calibri" w:hAnsi="Calibri" w:cs="Calibri"/>
        </w:rPr>
        <w:t>n.º 9.433/97, postas no</w:t>
      </w:r>
      <w:r w:rsidRPr="00052CEF">
        <w:rPr>
          <w:rFonts w:ascii="Calibri" w:eastAsia="Calibri" w:hAnsi="Calibri" w:cs="Calibri"/>
        </w:rPr>
        <w:t xml:space="preserve"> inciso VI, que determina ao Conselho “estabelecer diretrizes complementares para implementação da Política Nacional de Recursos Hídricos, aplicação de seus instrumentos e atuação do Sistema Nacional de Gerenciamento de Recursos Hídricos” e </w:t>
      </w:r>
      <w:r w:rsidR="0012521E">
        <w:rPr>
          <w:rFonts w:ascii="Calibri" w:eastAsia="Calibri" w:hAnsi="Calibri" w:cs="Calibri"/>
        </w:rPr>
        <w:t xml:space="preserve">no </w:t>
      </w:r>
      <w:r w:rsidRPr="00052CEF">
        <w:rPr>
          <w:rFonts w:ascii="Calibri" w:eastAsia="Calibri" w:hAnsi="Calibri" w:cs="Calibri"/>
        </w:rPr>
        <w:t>inciso X, “estabelecer critérios gerais para a outorga de direitos de uso de recursos hídricos e para a cobrança por seu uso”;</w:t>
      </w:r>
    </w:p>
    <w:p w:rsidR="00052CEF" w:rsidRPr="00052CEF" w:rsidRDefault="00052CEF" w:rsidP="00052CEF">
      <w:pPr>
        <w:jc w:val="both"/>
        <w:rPr>
          <w:rFonts w:ascii="Calibri" w:eastAsia="Calibri" w:hAnsi="Calibri" w:cs="Calibri"/>
        </w:rPr>
      </w:pPr>
      <w:r w:rsidRPr="00052CEF">
        <w:rPr>
          <w:rFonts w:ascii="Calibri" w:eastAsia="Calibri" w:hAnsi="Calibri" w:cs="Calibri"/>
        </w:rPr>
        <w:t>Considerando que na referida Lei, em seu Art. 7º, sobre conteúdo mínimo dos Planos de Recursos Hídricos, sejam esses nacional, estaduais ou de bacias, em seu inciso VIII determina que dev</w:t>
      </w:r>
      <w:r>
        <w:rPr>
          <w:rFonts w:ascii="Calibri" w:eastAsia="Calibri" w:hAnsi="Calibri" w:cs="Calibri"/>
        </w:rPr>
        <w:t>e</w:t>
      </w:r>
      <w:r w:rsidRPr="00052CEF">
        <w:rPr>
          <w:rFonts w:ascii="Calibri" w:eastAsia="Calibri" w:hAnsi="Calibri" w:cs="Calibri"/>
        </w:rPr>
        <w:t xml:space="preserve"> conter “prioridades para outorga de direitos de uso de recursos hídricos” e ainda sobre esse mesmo tema, ao regulamentar a outorga, em seu Art. 13, determina que “toda outorga estará condicionada às prioridades de uso estabelecidas nos Planos de Recursos Hídricos e deverá respeitar a classe em que o corpo de água estiver enquadrado e a manutenção de condições adequadas ao transporte aquaviário, quando for o caso”;</w:t>
      </w:r>
    </w:p>
    <w:p w:rsidR="00052CEF" w:rsidRDefault="00052CEF" w:rsidP="00052CEF">
      <w:pPr>
        <w:jc w:val="both"/>
        <w:rPr>
          <w:rFonts w:ascii="Calibri" w:eastAsia="Calibri" w:hAnsi="Calibri" w:cs="Calibri"/>
        </w:rPr>
      </w:pPr>
      <w:r w:rsidRPr="00052CEF">
        <w:rPr>
          <w:rFonts w:ascii="Calibri" w:eastAsia="Calibri" w:hAnsi="Calibri" w:cs="Calibri"/>
        </w:rPr>
        <w:t>Considerando ainda que, dentre seus fundamentos, a Política Nacional de Recursos Hídricos, expressa na Lei n.º 9.433/97, conforme Art. 1º, incisos III e IV, respectivamente, está que “em situações de escassez, o uso prioritário dos recursos hídricos é o consumo humano e a dessedentação de animais” e que “a gestão dos recursos hídricos deve sempre proporcionar o uso múltiplo das águas” e que, em seu Art. 2º, sobre os objetivos da Política, está que deve “assegurar à atual e às futuras gerações a necessária disponibilidade de água, em padrões de qualidade adequados aos respectivos usos”;</w:t>
      </w:r>
    </w:p>
    <w:p w:rsidR="006B34E3" w:rsidRDefault="006B34E3" w:rsidP="006B34E3">
      <w:pPr>
        <w:jc w:val="both"/>
        <w:rPr>
          <w:rFonts w:ascii="Calibri" w:eastAsia="Calibri" w:hAnsi="Calibri" w:cs="Calibri"/>
        </w:rPr>
      </w:pPr>
      <w:r>
        <w:rPr>
          <w:rFonts w:ascii="Calibri" w:eastAsia="Calibri" w:hAnsi="Calibri" w:cs="Calibri"/>
        </w:rPr>
        <w:t>Considerando</w:t>
      </w:r>
      <w:r w:rsidR="00052CEF">
        <w:rPr>
          <w:rFonts w:ascii="Calibri" w:eastAsia="Calibri" w:hAnsi="Calibri" w:cs="Calibri"/>
        </w:rPr>
        <w:t xml:space="preserve"> que a</w:t>
      </w:r>
      <w:r>
        <w:rPr>
          <w:rFonts w:ascii="Calibri" w:eastAsia="Calibri" w:hAnsi="Calibri" w:cs="Calibri"/>
        </w:rPr>
        <w:t xml:space="preserve"> inexistência de diretrizes e critérios gerais </w:t>
      </w:r>
      <w:r w:rsidRPr="006B34E3">
        <w:rPr>
          <w:rFonts w:ascii="Calibri" w:eastAsia="Calibri" w:hAnsi="Calibri" w:cs="Calibri"/>
        </w:rPr>
        <w:t xml:space="preserve">para o estabelecimento </w:t>
      </w:r>
      <w:r>
        <w:rPr>
          <w:rFonts w:ascii="Calibri" w:eastAsia="Calibri" w:hAnsi="Calibri" w:cs="Calibri"/>
        </w:rPr>
        <w:t xml:space="preserve">destas </w:t>
      </w:r>
      <w:r w:rsidRPr="006B34E3">
        <w:rPr>
          <w:rFonts w:ascii="Calibri" w:eastAsia="Calibri" w:hAnsi="Calibri" w:cs="Calibri"/>
        </w:rPr>
        <w:t xml:space="preserve">prioridades </w:t>
      </w:r>
      <w:r>
        <w:rPr>
          <w:rFonts w:ascii="Calibri" w:eastAsia="Calibri" w:hAnsi="Calibri" w:cs="Calibri"/>
        </w:rPr>
        <w:t>nos planos de recursos hídricos</w:t>
      </w:r>
      <w:r w:rsidR="00052CEF">
        <w:rPr>
          <w:rFonts w:ascii="Calibri" w:eastAsia="Calibri" w:hAnsi="Calibri" w:cs="Calibri"/>
        </w:rPr>
        <w:t xml:space="preserve"> pode causar distorções importantes que compromet</w:t>
      </w:r>
      <w:r w:rsidR="008A2A64">
        <w:rPr>
          <w:rFonts w:ascii="Calibri" w:eastAsia="Calibri" w:hAnsi="Calibri" w:cs="Calibri"/>
        </w:rPr>
        <w:t>e</w:t>
      </w:r>
      <w:r w:rsidR="00052CEF">
        <w:rPr>
          <w:rFonts w:ascii="Calibri" w:eastAsia="Calibri" w:hAnsi="Calibri" w:cs="Calibri"/>
        </w:rPr>
        <w:t xml:space="preserve">m os usos múltiplos, causando também insegurança jurídica no tocante </w:t>
      </w:r>
      <w:r w:rsidR="008235E2">
        <w:rPr>
          <w:rFonts w:ascii="Calibri" w:eastAsia="Calibri" w:hAnsi="Calibri" w:cs="Calibri"/>
        </w:rPr>
        <w:t>à</w:t>
      </w:r>
      <w:r w:rsidR="00052CEF">
        <w:rPr>
          <w:rFonts w:ascii="Calibri" w:eastAsia="Calibri" w:hAnsi="Calibri" w:cs="Calibri"/>
        </w:rPr>
        <w:t xml:space="preserve">s outorgas de direito de uso; </w:t>
      </w:r>
    </w:p>
    <w:p w:rsidR="00B53077" w:rsidRDefault="00B37E1B" w:rsidP="00B53077">
      <w:pPr>
        <w:jc w:val="both"/>
        <w:rPr>
          <w:rFonts w:ascii="Calibri" w:eastAsia="Calibri" w:hAnsi="Calibri" w:cs="Calibri"/>
        </w:rPr>
      </w:pPr>
      <w:r>
        <w:rPr>
          <w:rFonts w:ascii="Calibri" w:eastAsia="Calibri" w:hAnsi="Calibri" w:cs="Calibri"/>
        </w:rPr>
        <w:t xml:space="preserve">Considerando </w:t>
      </w:r>
      <w:r w:rsidR="003C45E3">
        <w:rPr>
          <w:rFonts w:ascii="Calibri" w:eastAsia="Calibri" w:hAnsi="Calibri" w:cs="Calibri"/>
        </w:rPr>
        <w:t xml:space="preserve">que </w:t>
      </w:r>
      <w:r w:rsidR="00B53077">
        <w:rPr>
          <w:rFonts w:ascii="Calibri" w:eastAsia="Calibri" w:hAnsi="Calibri" w:cs="Calibri"/>
        </w:rPr>
        <w:t xml:space="preserve">na 36ª Reunião </w:t>
      </w:r>
      <w:r>
        <w:rPr>
          <w:rFonts w:ascii="Calibri" w:eastAsia="Calibri" w:hAnsi="Calibri" w:cs="Calibri"/>
        </w:rPr>
        <w:t xml:space="preserve">Plenária </w:t>
      </w:r>
      <w:r w:rsidR="003C45E3">
        <w:rPr>
          <w:rFonts w:ascii="Calibri" w:eastAsia="Calibri" w:hAnsi="Calibri" w:cs="Calibri"/>
        </w:rPr>
        <w:t xml:space="preserve">do Conselho Nacional de Recursos Hídricos, </w:t>
      </w:r>
      <w:r w:rsidR="00B53077">
        <w:rPr>
          <w:rFonts w:ascii="Calibri" w:eastAsia="Calibri" w:hAnsi="Calibri" w:cs="Calibri"/>
        </w:rPr>
        <w:t xml:space="preserve">foi acatado o requerimento de urgência </w:t>
      </w:r>
      <w:r w:rsidR="00B53077" w:rsidRPr="00B53077">
        <w:rPr>
          <w:rFonts w:ascii="Calibri" w:eastAsia="Calibri" w:hAnsi="Calibri" w:cs="Calibri"/>
        </w:rPr>
        <w:t>encaminhad</w:t>
      </w:r>
      <w:r w:rsidR="00B53077">
        <w:rPr>
          <w:rFonts w:ascii="Calibri" w:eastAsia="Calibri" w:hAnsi="Calibri" w:cs="Calibri"/>
        </w:rPr>
        <w:t>o</w:t>
      </w:r>
      <w:r w:rsidR="00B53077" w:rsidRPr="00B53077">
        <w:rPr>
          <w:rFonts w:ascii="Calibri" w:eastAsia="Calibri" w:hAnsi="Calibri" w:cs="Calibri"/>
        </w:rPr>
        <w:t xml:space="preserve"> pelo MME</w:t>
      </w:r>
      <w:r w:rsidR="00B53077">
        <w:rPr>
          <w:rFonts w:ascii="Calibri" w:eastAsia="Calibri" w:hAnsi="Calibri" w:cs="Calibri"/>
        </w:rPr>
        <w:t>, solicitando que o CNRH estabeleça diretrizes e critérios gerais para estabelecimento de prioridades para a outorga de direito de uso dos recursos hídricos;</w:t>
      </w:r>
    </w:p>
    <w:p w:rsidR="005F4145" w:rsidRDefault="00B53077" w:rsidP="00B53077">
      <w:pPr>
        <w:jc w:val="both"/>
        <w:rPr>
          <w:rFonts w:ascii="Calibri" w:eastAsia="Calibri" w:hAnsi="Calibri" w:cs="Calibri"/>
        </w:rPr>
      </w:pPr>
      <w:r>
        <w:rPr>
          <w:rFonts w:ascii="Calibri" w:eastAsia="Calibri" w:hAnsi="Calibri" w:cs="Calibri"/>
        </w:rPr>
        <w:t>Considerando que</w:t>
      </w:r>
      <w:r w:rsidR="003C45E3">
        <w:rPr>
          <w:rFonts w:ascii="Calibri" w:eastAsia="Calibri" w:hAnsi="Calibri" w:cs="Calibri"/>
        </w:rPr>
        <w:t xml:space="preserve"> </w:t>
      </w:r>
      <w:r>
        <w:rPr>
          <w:rFonts w:ascii="Calibri" w:eastAsia="Calibri" w:hAnsi="Calibri" w:cs="Calibri"/>
        </w:rPr>
        <w:t xml:space="preserve">o assunto foi encaminhado à </w:t>
      </w:r>
      <w:r w:rsidR="003C45E3" w:rsidRPr="003C45E3">
        <w:rPr>
          <w:rFonts w:ascii="Calibri" w:eastAsia="Calibri" w:hAnsi="Calibri" w:cs="Calibri"/>
        </w:rPr>
        <w:t>Câmara Técnica de Integração de Procedimentos, Ações de Outorga e Ações Reguladoras</w:t>
      </w:r>
      <w:r>
        <w:rPr>
          <w:rFonts w:ascii="Calibri" w:eastAsia="Calibri" w:hAnsi="Calibri" w:cs="Calibri"/>
        </w:rPr>
        <w:t xml:space="preserve"> (CTPOAR), sendo objeto de pauta desta Câmara na sua 113ª reunião, </w:t>
      </w:r>
    </w:p>
    <w:p w:rsidR="005F4145" w:rsidRPr="008A2A64" w:rsidRDefault="00B37E1B" w:rsidP="008A2A64">
      <w:pPr>
        <w:jc w:val="both"/>
        <w:rPr>
          <w:rFonts w:ascii="Calibri" w:eastAsia="Calibri" w:hAnsi="Calibri" w:cs="Calibri"/>
        </w:rPr>
      </w:pPr>
      <w:r>
        <w:rPr>
          <w:rFonts w:ascii="Calibri" w:eastAsia="Calibri" w:hAnsi="Calibri" w:cs="Calibri"/>
        </w:rPr>
        <w:t xml:space="preserve">Considerando </w:t>
      </w:r>
      <w:r w:rsidR="008A2A64">
        <w:rPr>
          <w:rFonts w:ascii="Calibri" w:eastAsia="Calibri" w:hAnsi="Calibri" w:cs="Calibri"/>
        </w:rPr>
        <w:t>as discussões ocorridas na</w:t>
      </w:r>
      <w:r w:rsidR="003C45E3">
        <w:rPr>
          <w:rFonts w:ascii="Calibri" w:eastAsia="Calibri" w:hAnsi="Calibri" w:cs="Calibri"/>
        </w:rPr>
        <w:t xml:space="preserve"> CTPOAR</w:t>
      </w:r>
      <w:r w:rsidR="00B53077">
        <w:rPr>
          <w:rFonts w:ascii="Calibri" w:eastAsia="Calibri" w:hAnsi="Calibri" w:cs="Calibri"/>
        </w:rPr>
        <w:t xml:space="preserve">, </w:t>
      </w:r>
      <w:r w:rsidR="008A2A64">
        <w:rPr>
          <w:rFonts w:ascii="Calibri" w:eastAsia="Calibri" w:hAnsi="Calibri" w:cs="Calibri"/>
        </w:rPr>
        <w:t xml:space="preserve">e a urgência do tema, foi instituído o </w:t>
      </w:r>
      <w:r w:rsidR="008A2A64" w:rsidRPr="00C459F4">
        <w:rPr>
          <w:rFonts w:ascii="Calibri" w:eastAsia="Calibri" w:hAnsi="Calibri" w:cs="Calibri"/>
          <w:b/>
        </w:rPr>
        <w:t>Grupo de Trabalho – Prioridades para Outorga</w:t>
      </w:r>
      <w:r w:rsidR="008A2A64">
        <w:rPr>
          <w:rFonts w:ascii="Calibri" w:eastAsia="Calibri" w:hAnsi="Calibri" w:cs="Calibri"/>
        </w:rPr>
        <w:t>, c</w:t>
      </w:r>
      <w:r>
        <w:rPr>
          <w:rFonts w:ascii="Calibri" w:eastAsia="Calibri" w:hAnsi="Calibri" w:cs="Calibri"/>
        </w:rPr>
        <w:t>om a finalidade de</w:t>
      </w:r>
      <w:r w:rsidR="008A2A64">
        <w:rPr>
          <w:rFonts w:ascii="Calibri" w:eastAsia="Calibri" w:hAnsi="Calibri" w:cs="Calibri"/>
        </w:rPr>
        <w:t xml:space="preserve"> </w:t>
      </w:r>
      <w:r w:rsidR="00C459F4">
        <w:rPr>
          <w:rFonts w:ascii="Calibri" w:eastAsia="Calibri" w:hAnsi="Calibri" w:cs="Calibri"/>
        </w:rPr>
        <w:t>elaborar</w:t>
      </w:r>
      <w:r w:rsidR="008A2A64">
        <w:rPr>
          <w:rFonts w:ascii="Calibri" w:eastAsia="Calibri" w:hAnsi="Calibri" w:cs="Calibri"/>
        </w:rPr>
        <w:t>, em articulação com a Câmara Técnica do Plano Nacional de Recursos Hídricos (CTPNRH) uma minuta de resolução</w:t>
      </w:r>
      <w:r w:rsidR="00C459F4">
        <w:rPr>
          <w:rFonts w:ascii="Calibri" w:eastAsia="Calibri" w:hAnsi="Calibri" w:cs="Calibri"/>
        </w:rPr>
        <w:t>.</w:t>
      </w:r>
    </w:p>
    <w:p w:rsidR="00581FA6" w:rsidRPr="00581FA6" w:rsidRDefault="00581FA6" w:rsidP="00581FA6">
      <w:pPr>
        <w:rPr>
          <w:rFonts w:ascii="Calibri" w:eastAsia="Calibri" w:hAnsi="Calibri" w:cs="Calibri"/>
        </w:rPr>
      </w:pPr>
      <w:r w:rsidRPr="00581FA6">
        <w:rPr>
          <w:rFonts w:ascii="Calibri" w:eastAsia="Calibri" w:hAnsi="Calibri" w:cs="Calibri"/>
        </w:rPr>
        <w:t>Os representantes da CTPOAR que manifestaram interesse em participar no GT são:</w:t>
      </w:r>
    </w:p>
    <w:p w:rsidR="00581FA6" w:rsidRPr="00CC4CE1" w:rsidRDefault="00581FA6" w:rsidP="00CC4CE1">
      <w:pPr>
        <w:pStyle w:val="PargrafodaLista"/>
        <w:numPr>
          <w:ilvl w:val="0"/>
          <w:numId w:val="2"/>
        </w:numPr>
        <w:rPr>
          <w:rFonts w:ascii="Calibri" w:eastAsia="Calibri" w:hAnsi="Calibri" w:cs="Calibri"/>
        </w:rPr>
      </w:pPr>
      <w:r w:rsidRPr="00CC4CE1">
        <w:rPr>
          <w:rFonts w:ascii="Calibri" w:eastAsia="Calibri" w:hAnsi="Calibri" w:cs="Calibri"/>
        </w:rPr>
        <w:t xml:space="preserve">ANA (Coordenador): Luiz Henrique Pinheiro </w:t>
      </w:r>
    </w:p>
    <w:p w:rsidR="00581FA6" w:rsidRPr="00CC4CE1" w:rsidRDefault="00581FA6" w:rsidP="00CC4CE1">
      <w:pPr>
        <w:pStyle w:val="PargrafodaLista"/>
        <w:numPr>
          <w:ilvl w:val="0"/>
          <w:numId w:val="2"/>
        </w:numPr>
        <w:rPr>
          <w:rFonts w:ascii="Calibri" w:eastAsia="Calibri" w:hAnsi="Calibri" w:cs="Calibri"/>
        </w:rPr>
      </w:pPr>
      <w:r w:rsidRPr="00CC4CE1">
        <w:rPr>
          <w:rFonts w:ascii="Calibri" w:eastAsia="Calibri" w:hAnsi="Calibri" w:cs="Calibri"/>
        </w:rPr>
        <w:t>MME (Convidado externo): Igor Souza Ribeiro</w:t>
      </w:r>
    </w:p>
    <w:p w:rsidR="00581FA6" w:rsidRPr="00CC4CE1" w:rsidRDefault="00581FA6" w:rsidP="00CC4CE1">
      <w:pPr>
        <w:pStyle w:val="PargrafodaLista"/>
        <w:numPr>
          <w:ilvl w:val="0"/>
          <w:numId w:val="2"/>
        </w:numPr>
        <w:rPr>
          <w:rFonts w:ascii="Calibri" w:eastAsia="Calibri" w:hAnsi="Calibri" w:cs="Calibri"/>
        </w:rPr>
      </w:pPr>
      <w:r w:rsidRPr="00CC4CE1">
        <w:rPr>
          <w:rFonts w:ascii="Calibri" w:eastAsia="Calibri" w:hAnsi="Calibri" w:cs="Calibri"/>
        </w:rPr>
        <w:t xml:space="preserve">MAPA: Maria Emília Borges Alves </w:t>
      </w:r>
    </w:p>
    <w:p w:rsidR="00581FA6" w:rsidRPr="00CC4CE1" w:rsidRDefault="00CC4CE1" w:rsidP="00CC4CE1">
      <w:pPr>
        <w:pStyle w:val="PargrafodaLista"/>
        <w:numPr>
          <w:ilvl w:val="0"/>
          <w:numId w:val="2"/>
        </w:numPr>
        <w:rPr>
          <w:rFonts w:ascii="Calibri" w:eastAsia="Calibri" w:hAnsi="Calibri" w:cs="Calibri"/>
        </w:rPr>
      </w:pPr>
      <w:r>
        <w:rPr>
          <w:rFonts w:ascii="Calibri" w:eastAsia="Calibri" w:hAnsi="Calibri" w:cs="Calibri"/>
        </w:rPr>
        <w:t xml:space="preserve">MMA: Mirela Garaventta </w:t>
      </w:r>
    </w:p>
    <w:p w:rsidR="00581FA6" w:rsidRPr="00CC4CE1" w:rsidRDefault="00581FA6" w:rsidP="00CC4CE1">
      <w:pPr>
        <w:pStyle w:val="PargrafodaLista"/>
        <w:numPr>
          <w:ilvl w:val="0"/>
          <w:numId w:val="2"/>
        </w:numPr>
        <w:rPr>
          <w:rFonts w:ascii="Calibri" w:eastAsia="Calibri" w:hAnsi="Calibri" w:cs="Calibri"/>
        </w:rPr>
      </w:pPr>
      <w:r w:rsidRPr="00CC4CE1">
        <w:rPr>
          <w:rFonts w:ascii="Calibri" w:eastAsia="Calibri" w:hAnsi="Calibri" w:cs="Calibri"/>
        </w:rPr>
        <w:t xml:space="preserve">Concessionárias (CEMIG): Jean de Carvalho Breves </w:t>
      </w:r>
    </w:p>
    <w:p w:rsidR="00581FA6" w:rsidRPr="00CC4CE1" w:rsidRDefault="00581FA6" w:rsidP="00CC4CE1">
      <w:pPr>
        <w:pStyle w:val="PargrafodaLista"/>
        <w:numPr>
          <w:ilvl w:val="0"/>
          <w:numId w:val="2"/>
        </w:numPr>
        <w:rPr>
          <w:rFonts w:ascii="Calibri" w:eastAsia="Calibri" w:hAnsi="Calibri" w:cs="Calibri"/>
        </w:rPr>
      </w:pPr>
      <w:r w:rsidRPr="00CC4CE1">
        <w:rPr>
          <w:rFonts w:ascii="Calibri" w:eastAsia="Calibri" w:hAnsi="Calibri" w:cs="Calibri"/>
        </w:rPr>
        <w:t xml:space="preserve">Irrigantes (CNA): Gustavo dos Santos </w:t>
      </w:r>
    </w:p>
    <w:p w:rsidR="00581FA6" w:rsidRPr="00CC4CE1" w:rsidRDefault="00581FA6" w:rsidP="00CC4CE1">
      <w:pPr>
        <w:pStyle w:val="PargrafodaLista"/>
        <w:numPr>
          <w:ilvl w:val="0"/>
          <w:numId w:val="2"/>
        </w:numPr>
        <w:rPr>
          <w:rFonts w:ascii="Calibri" w:eastAsia="Calibri" w:hAnsi="Calibri" w:cs="Calibri"/>
        </w:rPr>
      </w:pPr>
      <w:r w:rsidRPr="00CC4CE1">
        <w:rPr>
          <w:rFonts w:ascii="Calibri" w:eastAsia="Calibri" w:hAnsi="Calibri" w:cs="Calibri"/>
        </w:rPr>
        <w:t xml:space="preserve">Indústria (FIESP): Zeila Piotto </w:t>
      </w:r>
    </w:p>
    <w:p w:rsidR="00581FA6" w:rsidRPr="00CC4CE1" w:rsidRDefault="00581FA6" w:rsidP="00CC4CE1">
      <w:pPr>
        <w:pStyle w:val="PargrafodaLista"/>
        <w:numPr>
          <w:ilvl w:val="0"/>
          <w:numId w:val="2"/>
        </w:numPr>
        <w:rPr>
          <w:rFonts w:ascii="Calibri" w:eastAsia="Calibri" w:hAnsi="Calibri" w:cs="Calibri"/>
        </w:rPr>
      </w:pPr>
      <w:r w:rsidRPr="00CC4CE1">
        <w:rPr>
          <w:rFonts w:ascii="Calibri" w:eastAsia="Calibri" w:hAnsi="Calibri" w:cs="Calibri"/>
        </w:rPr>
        <w:t>CERH/RN:</w:t>
      </w:r>
      <w:r w:rsidR="00CC4CE1">
        <w:rPr>
          <w:rFonts w:ascii="Calibri" w:eastAsia="Calibri" w:hAnsi="Calibri" w:cs="Calibri"/>
        </w:rPr>
        <w:t xml:space="preserve"> Nelson Césio Fernandes Santos </w:t>
      </w:r>
    </w:p>
    <w:p w:rsidR="00581FA6" w:rsidRPr="00CC4CE1" w:rsidRDefault="00581FA6" w:rsidP="00CC4CE1">
      <w:pPr>
        <w:pStyle w:val="PargrafodaLista"/>
        <w:numPr>
          <w:ilvl w:val="0"/>
          <w:numId w:val="2"/>
        </w:numPr>
        <w:rPr>
          <w:rFonts w:ascii="Calibri" w:eastAsia="Calibri" w:hAnsi="Calibri" w:cs="Calibri"/>
        </w:rPr>
      </w:pPr>
      <w:r w:rsidRPr="00CC4CE1">
        <w:rPr>
          <w:rFonts w:ascii="Calibri" w:eastAsia="Calibri" w:hAnsi="Calibri" w:cs="Calibri"/>
        </w:rPr>
        <w:t xml:space="preserve">CERH/GO: João Ricardo </w:t>
      </w:r>
      <w:proofErr w:type="spellStart"/>
      <w:r w:rsidRPr="00CC4CE1">
        <w:rPr>
          <w:rFonts w:ascii="Calibri" w:eastAsia="Calibri" w:hAnsi="Calibri" w:cs="Calibri"/>
        </w:rPr>
        <w:t>Raiser</w:t>
      </w:r>
      <w:proofErr w:type="spellEnd"/>
      <w:r w:rsidRPr="00CC4CE1">
        <w:rPr>
          <w:rFonts w:ascii="Calibri" w:eastAsia="Calibri" w:hAnsi="Calibri" w:cs="Calibri"/>
        </w:rPr>
        <w:t xml:space="preserve"> </w:t>
      </w:r>
    </w:p>
    <w:p w:rsidR="00581FA6" w:rsidRPr="00CC4CE1" w:rsidRDefault="00581FA6" w:rsidP="00CC4CE1">
      <w:pPr>
        <w:pStyle w:val="PargrafodaLista"/>
        <w:numPr>
          <w:ilvl w:val="0"/>
          <w:numId w:val="2"/>
        </w:numPr>
        <w:rPr>
          <w:rFonts w:ascii="Calibri" w:eastAsia="Calibri" w:hAnsi="Calibri" w:cs="Calibri"/>
        </w:rPr>
      </w:pPr>
      <w:r w:rsidRPr="00CC4CE1">
        <w:rPr>
          <w:rFonts w:ascii="Calibri" w:eastAsia="Calibri" w:hAnsi="Calibri" w:cs="Calibri"/>
        </w:rPr>
        <w:t xml:space="preserve">CERH/DF: Maria Sílvia Rossi </w:t>
      </w:r>
    </w:p>
    <w:p w:rsidR="00581FA6" w:rsidRDefault="00581FA6" w:rsidP="00CC4CE1">
      <w:pPr>
        <w:ind w:firstLine="47"/>
        <w:rPr>
          <w:rFonts w:ascii="Calibri" w:eastAsia="Calibri" w:hAnsi="Calibri" w:cs="Calibri"/>
        </w:rPr>
      </w:pPr>
    </w:p>
    <w:p w:rsidR="00CC4CE1" w:rsidRDefault="00CC4CE1" w:rsidP="0012521E">
      <w:pPr>
        <w:jc w:val="both"/>
        <w:rPr>
          <w:rFonts w:ascii="Calibri" w:eastAsia="Calibri" w:hAnsi="Calibri" w:cs="Calibri"/>
        </w:rPr>
      </w:pPr>
      <w:r>
        <w:rPr>
          <w:rFonts w:ascii="Calibri" w:eastAsia="Calibri" w:hAnsi="Calibri" w:cs="Calibri"/>
        </w:rPr>
        <w:t xml:space="preserve">Afim de elaborar a minuta, o GT ficou incumbido de propor </w:t>
      </w:r>
      <w:r w:rsidR="0012521E">
        <w:rPr>
          <w:rFonts w:ascii="Calibri" w:eastAsia="Calibri" w:hAnsi="Calibri" w:cs="Calibri"/>
        </w:rPr>
        <w:t>um plano</w:t>
      </w:r>
      <w:r>
        <w:rPr>
          <w:rFonts w:ascii="Calibri" w:eastAsia="Calibri" w:hAnsi="Calibri" w:cs="Calibri"/>
        </w:rPr>
        <w:t xml:space="preserve"> de trabalho que deverá ser discutid</w:t>
      </w:r>
      <w:r w:rsidR="008235E2">
        <w:rPr>
          <w:rFonts w:ascii="Calibri" w:eastAsia="Calibri" w:hAnsi="Calibri" w:cs="Calibri"/>
        </w:rPr>
        <w:t>o</w:t>
      </w:r>
      <w:r>
        <w:rPr>
          <w:rFonts w:ascii="Calibri" w:eastAsia="Calibri" w:hAnsi="Calibri" w:cs="Calibri"/>
        </w:rPr>
        <w:t xml:space="preserve"> </w:t>
      </w:r>
      <w:r w:rsidR="001A40DC">
        <w:rPr>
          <w:rFonts w:ascii="Calibri" w:eastAsia="Calibri" w:hAnsi="Calibri" w:cs="Calibri"/>
        </w:rPr>
        <w:t xml:space="preserve">e consolidado </w:t>
      </w:r>
      <w:r>
        <w:rPr>
          <w:rFonts w:ascii="Calibri" w:eastAsia="Calibri" w:hAnsi="Calibri" w:cs="Calibri"/>
        </w:rPr>
        <w:t>na 96ª reunião da CTPNRH.</w:t>
      </w:r>
    </w:p>
    <w:p w:rsidR="00CC4CE1" w:rsidRDefault="0012521E" w:rsidP="0012521E">
      <w:pPr>
        <w:jc w:val="both"/>
        <w:rPr>
          <w:rFonts w:ascii="Calibri" w:eastAsia="Calibri" w:hAnsi="Calibri" w:cs="Calibri"/>
        </w:rPr>
      </w:pPr>
      <w:r>
        <w:rPr>
          <w:rFonts w:ascii="Calibri" w:eastAsia="Calibri" w:hAnsi="Calibri" w:cs="Calibri"/>
        </w:rPr>
        <w:t xml:space="preserve">Para tanto, segue a </w:t>
      </w:r>
      <w:r w:rsidRPr="00A60BBC">
        <w:rPr>
          <w:rFonts w:ascii="Calibri" w:eastAsia="Calibri" w:hAnsi="Calibri" w:cs="Calibri"/>
          <w:i/>
        </w:rPr>
        <w:t>proposta de plano de trabalho</w:t>
      </w:r>
      <w:r>
        <w:rPr>
          <w:rFonts w:ascii="Calibri" w:eastAsia="Calibri" w:hAnsi="Calibri" w:cs="Calibri"/>
        </w:rPr>
        <w:t xml:space="preserve"> para a elaboração da minuta de resolução que define diretrizes e critérios gerais para o estabelecimento de prioridades </w:t>
      </w:r>
      <w:r w:rsidR="00A9193E">
        <w:rPr>
          <w:rFonts w:ascii="Calibri" w:eastAsia="Calibri" w:hAnsi="Calibri" w:cs="Calibri"/>
        </w:rPr>
        <w:t xml:space="preserve">para a </w:t>
      </w:r>
      <w:r>
        <w:rPr>
          <w:rFonts w:ascii="Calibri" w:eastAsia="Calibri" w:hAnsi="Calibri" w:cs="Calibri"/>
        </w:rPr>
        <w:t>outorga de direito d</w:t>
      </w:r>
      <w:r w:rsidR="00A9193E">
        <w:rPr>
          <w:rFonts w:ascii="Calibri" w:eastAsia="Calibri" w:hAnsi="Calibri" w:cs="Calibri"/>
        </w:rPr>
        <w:t>e</w:t>
      </w:r>
      <w:r>
        <w:rPr>
          <w:rFonts w:ascii="Calibri" w:eastAsia="Calibri" w:hAnsi="Calibri" w:cs="Calibri"/>
        </w:rPr>
        <w:t xml:space="preserve"> uso dos recursos hídricos. </w:t>
      </w:r>
    </w:p>
    <w:p w:rsidR="0012521E" w:rsidRDefault="0012521E" w:rsidP="0012521E">
      <w:pPr>
        <w:jc w:val="both"/>
        <w:rPr>
          <w:rFonts w:ascii="Calibri" w:eastAsia="Calibri" w:hAnsi="Calibri" w:cs="Calibri"/>
        </w:rPr>
      </w:pPr>
    </w:p>
    <w:p w:rsidR="00CC4CE1" w:rsidRDefault="0012521E" w:rsidP="00CC4CE1">
      <w:pPr>
        <w:ind w:firstLine="47"/>
        <w:rPr>
          <w:rFonts w:eastAsia="Calibri" w:cstheme="minorHAnsi"/>
          <w:b/>
          <w:sz w:val="20"/>
          <w:szCs w:val="20"/>
        </w:rPr>
      </w:pPr>
      <w:r w:rsidRPr="006B20BA">
        <w:rPr>
          <w:rFonts w:eastAsia="Calibri" w:cstheme="minorHAnsi"/>
          <w:b/>
          <w:sz w:val="20"/>
          <w:szCs w:val="20"/>
        </w:rPr>
        <w:t>GT- PRIORIDADES DE OUTORGA - PLANO DE TRABALHO</w:t>
      </w:r>
    </w:p>
    <w:tbl>
      <w:tblPr>
        <w:tblStyle w:val="Tabelacomgrade"/>
        <w:tblW w:w="0" w:type="auto"/>
        <w:tblLook w:val="04A0" w:firstRow="1" w:lastRow="0" w:firstColumn="1" w:lastColumn="0" w:noHBand="0" w:noVBand="1"/>
      </w:tblPr>
      <w:tblGrid>
        <w:gridCol w:w="1963"/>
        <w:gridCol w:w="3876"/>
        <w:gridCol w:w="1563"/>
        <w:gridCol w:w="1614"/>
      </w:tblGrid>
      <w:tr w:rsidR="00C97EA5" w:rsidTr="00616E88">
        <w:tc>
          <w:tcPr>
            <w:tcW w:w="2811"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b/>
                <w:sz w:val="20"/>
                <w:szCs w:val="20"/>
              </w:rPr>
            </w:pPr>
            <w:r w:rsidRPr="00143CE7">
              <w:rPr>
                <w:rFonts w:eastAsia="Calibri" w:cstheme="minorHAnsi"/>
                <w:b/>
                <w:sz w:val="20"/>
                <w:szCs w:val="20"/>
              </w:rPr>
              <w:t>Atividade</w:t>
            </w:r>
          </w:p>
        </w:tc>
        <w:tc>
          <w:tcPr>
            <w:tcW w:w="6994"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b/>
                <w:sz w:val="20"/>
                <w:szCs w:val="20"/>
              </w:rPr>
            </w:pPr>
            <w:r w:rsidRPr="00143CE7">
              <w:rPr>
                <w:rFonts w:eastAsia="Calibri" w:cstheme="minorHAnsi"/>
                <w:b/>
                <w:sz w:val="20"/>
                <w:szCs w:val="20"/>
              </w:rPr>
              <w:t>Descrição</w:t>
            </w:r>
          </w:p>
        </w:tc>
        <w:tc>
          <w:tcPr>
            <w:tcW w:w="1710"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b/>
                <w:sz w:val="20"/>
                <w:szCs w:val="20"/>
              </w:rPr>
            </w:pPr>
            <w:r w:rsidRPr="00143CE7">
              <w:rPr>
                <w:rFonts w:eastAsia="Calibri" w:cstheme="minorHAnsi"/>
                <w:b/>
                <w:sz w:val="20"/>
                <w:szCs w:val="20"/>
              </w:rPr>
              <w:t>Envolvidos</w:t>
            </w:r>
          </w:p>
        </w:tc>
        <w:tc>
          <w:tcPr>
            <w:tcW w:w="1980"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b/>
                <w:sz w:val="20"/>
                <w:szCs w:val="20"/>
              </w:rPr>
            </w:pPr>
            <w:r w:rsidRPr="00143CE7">
              <w:rPr>
                <w:rFonts w:eastAsia="Calibri" w:cstheme="minorHAnsi"/>
                <w:b/>
                <w:sz w:val="20"/>
                <w:szCs w:val="20"/>
              </w:rPr>
              <w:t>Data/Período</w:t>
            </w:r>
          </w:p>
        </w:tc>
      </w:tr>
      <w:tr w:rsidR="00C97EA5" w:rsidTr="00616E88">
        <w:tc>
          <w:tcPr>
            <w:tcW w:w="13495" w:type="dxa"/>
            <w:gridSpan w:val="4"/>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b/>
                <w:sz w:val="20"/>
                <w:szCs w:val="20"/>
              </w:rPr>
            </w:pPr>
            <w:r w:rsidRPr="00143CE7">
              <w:rPr>
                <w:rFonts w:eastAsia="Calibri" w:cstheme="minorHAnsi"/>
                <w:b/>
                <w:sz w:val="20"/>
                <w:szCs w:val="20"/>
              </w:rPr>
              <w:t>1. Apresentação do pleito e implantação do GT</w:t>
            </w:r>
          </w:p>
        </w:tc>
      </w:tr>
      <w:tr w:rsidR="00C97EA5" w:rsidTr="00616E88">
        <w:tc>
          <w:tcPr>
            <w:tcW w:w="2811"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 xml:space="preserve">1.1. Apresentação do pleito </w:t>
            </w:r>
          </w:p>
        </w:tc>
        <w:tc>
          <w:tcPr>
            <w:tcW w:w="6994"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jc w:val="both"/>
              <w:rPr>
                <w:rFonts w:eastAsia="Calibri" w:cstheme="minorHAnsi"/>
                <w:sz w:val="20"/>
                <w:szCs w:val="20"/>
              </w:rPr>
            </w:pPr>
            <w:r w:rsidRPr="00143CE7">
              <w:rPr>
                <w:rFonts w:eastAsia="Calibri" w:cstheme="minorHAnsi"/>
                <w:sz w:val="20"/>
                <w:szCs w:val="20"/>
              </w:rPr>
              <w:t>Apresentação do pleito sobre disciplinar a prioridade para outorga no âmbito da CTPOAR</w:t>
            </w:r>
          </w:p>
        </w:tc>
        <w:tc>
          <w:tcPr>
            <w:tcW w:w="1710"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CTPOAR</w:t>
            </w:r>
          </w:p>
        </w:tc>
        <w:tc>
          <w:tcPr>
            <w:tcW w:w="1980"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15/03/17</w:t>
            </w:r>
          </w:p>
        </w:tc>
      </w:tr>
      <w:tr w:rsidR="00C97EA5" w:rsidTr="00616E88">
        <w:tc>
          <w:tcPr>
            <w:tcW w:w="2811"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1.2. Formação do GT</w:t>
            </w:r>
          </w:p>
        </w:tc>
        <w:tc>
          <w:tcPr>
            <w:tcW w:w="6994"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jc w:val="both"/>
              <w:rPr>
                <w:rFonts w:eastAsia="Calibri" w:cstheme="minorHAnsi"/>
                <w:sz w:val="20"/>
                <w:szCs w:val="20"/>
              </w:rPr>
            </w:pPr>
            <w:r w:rsidRPr="00143CE7">
              <w:rPr>
                <w:rFonts w:eastAsia="Calibri" w:cstheme="minorHAnsi"/>
                <w:sz w:val="20"/>
                <w:szCs w:val="20"/>
              </w:rPr>
              <w:t>Indicação de interessados no âmbito da CTPOAR</w:t>
            </w:r>
          </w:p>
        </w:tc>
        <w:tc>
          <w:tcPr>
            <w:tcW w:w="1710"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CTPOAR</w:t>
            </w:r>
          </w:p>
        </w:tc>
        <w:tc>
          <w:tcPr>
            <w:tcW w:w="1980"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15/03/17</w:t>
            </w:r>
          </w:p>
        </w:tc>
      </w:tr>
      <w:tr w:rsidR="00C97EA5" w:rsidTr="00616E88">
        <w:tc>
          <w:tcPr>
            <w:tcW w:w="2811"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1.3. Elaboração de proposta de plano de trabalho do GT</w:t>
            </w:r>
          </w:p>
        </w:tc>
        <w:tc>
          <w:tcPr>
            <w:tcW w:w="6994"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jc w:val="both"/>
              <w:rPr>
                <w:rFonts w:eastAsia="Calibri" w:cstheme="minorHAnsi"/>
                <w:sz w:val="20"/>
                <w:szCs w:val="20"/>
              </w:rPr>
            </w:pPr>
            <w:r w:rsidRPr="00143CE7">
              <w:rPr>
                <w:rFonts w:eastAsia="Calibri" w:cstheme="minorHAnsi"/>
                <w:sz w:val="20"/>
                <w:szCs w:val="20"/>
              </w:rPr>
              <w:t xml:space="preserve">Elaboração de proposta de Plano de trabalho do GT </w:t>
            </w:r>
          </w:p>
        </w:tc>
        <w:tc>
          <w:tcPr>
            <w:tcW w:w="1710"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GT/CTPOAR</w:t>
            </w:r>
          </w:p>
        </w:tc>
        <w:tc>
          <w:tcPr>
            <w:tcW w:w="1980"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Até 06/04/17</w:t>
            </w:r>
          </w:p>
        </w:tc>
      </w:tr>
      <w:tr w:rsidR="00C97EA5" w:rsidTr="00616E88">
        <w:tc>
          <w:tcPr>
            <w:tcW w:w="2811" w:type="dxa"/>
            <w:tcBorders>
              <w:top w:val="single" w:sz="4" w:space="0" w:color="auto"/>
              <w:left w:val="single" w:sz="4" w:space="0" w:color="auto"/>
              <w:bottom w:val="single" w:sz="4" w:space="0" w:color="auto"/>
              <w:right w:val="single" w:sz="4" w:space="0" w:color="auto"/>
            </w:tcBorders>
            <w:vAlign w:val="center"/>
          </w:tcPr>
          <w:p w:rsidR="00C97EA5" w:rsidRPr="00143CE7" w:rsidRDefault="00C97EA5" w:rsidP="00616E88">
            <w:pPr>
              <w:rPr>
                <w:rFonts w:eastAsia="Calibri" w:cstheme="minorHAnsi"/>
                <w:sz w:val="20"/>
                <w:szCs w:val="20"/>
              </w:rPr>
            </w:pPr>
            <w:r w:rsidRPr="00143CE7">
              <w:rPr>
                <w:rFonts w:eastAsia="Calibri" w:cstheme="minorHAnsi"/>
                <w:sz w:val="20"/>
                <w:szCs w:val="20"/>
              </w:rPr>
              <w:t>1.4. Apresentação do pleito e da proposta de plano de trabalho do GT</w:t>
            </w:r>
          </w:p>
        </w:tc>
        <w:tc>
          <w:tcPr>
            <w:tcW w:w="6994" w:type="dxa"/>
            <w:tcBorders>
              <w:top w:val="single" w:sz="4" w:space="0" w:color="auto"/>
              <w:left w:val="single" w:sz="4" w:space="0" w:color="auto"/>
              <w:bottom w:val="single" w:sz="4" w:space="0" w:color="auto"/>
              <w:right w:val="single" w:sz="4" w:space="0" w:color="auto"/>
            </w:tcBorders>
            <w:vAlign w:val="center"/>
          </w:tcPr>
          <w:p w:rsidR="00C97EA5" w:rsidRPr="00143CE7" w:rsidRDefault="00C97EA5" w:rsidP="00616E88">
            <w:pPr>
              <w:jc w:val="both"/>
              <w:rPr>
                <w:rFonts w:eastAsia="Calibri" w:cstheme="minorHAnsi"/>
                <w:sz w:val="20"/>
                <w:szCs w:val="20"/>
              </w:rPr>
            </w:pPr>
            <w:r w:rsidRPr="00143CE7">
              <w:rPr>
                <w:rFonts w:eastAsia="Calibri" w:cstheme="minorHAnsi"/>
                <w:sz w:val="20"/>
                <w:szCs w:val="20"/>
              </w:rPr>
              <w:t>Apresentação do pleito sobre disciplinar a prioridade para outorga e a proposta de plano de trabalho no âmbito da CTPNRH</w:t>
            </w:r>
          </w:p>
        </w:tc>
        <w:tc>
          <w:tcPr>
            <w:tcW w:w="1710" w:type="dxa"/>
            <w:tcBorders>
              <w:top w:val="single" w:sz="4" w:space="0" w:color="auto"/>
              <w:left w:val="single" w:sz="4" w:space="0" w:color="auto"/>
              <w:bottom w:val="single" w:sz="4" w:space="0" w:color="auto"/>
              <w:right w:val="single" w:sz="4" w:space="0" w:color="auto"/>
            </w:tcBorders>
            <w:vAlign w:val="center"/>
          </w:tcPr>
          <w:p w:rsidR="00C97EA5" w:rsidRPr="00143CE7" w:rsidRDefault="00C97EA5" w:rsidP="00616E88">
            <w:pPr>
              <w:rPr>
                <w:rFonts w:eastAsia="Calibri" w:cstheme="minorHAnsi"/>
                <w:sz w:val="20"/>
                <w:szCs w:val="20"/>
              </w:rPr>
            </w:pPr>
            <w:r w:rsidRPr="00143CE7">
              <w:rPr>
                <w:rFonts w:eastAsia="Calibri" w:cstheme="minorHAnsi"/>
                <w:sz w:val="20"/>
                <w:szCs w:val="20"/>
              </w:rPr>
              <w:t>CTPNRH e representantes do GT/CTPOAR</w:t>
            </w:r>
          </w:p>
        </w:tc>
        <w:tc>
          <w:tcPr>
            <w:tcW w:w="1980" w:type="dxa"/>
            <w:tcBorders>
              <w:top w:val="single" w:sz="4" w:space="0" w:color="auto"/>
              <w:left w:val="single" w:sz="4" w:space="0" w:color="auto"/>
              <w:bottom w:val="single" w:sz="4" w:space="0" w:color="auto"/>
              <w:right w:val="single" w:sz="4" w:space="0" w:color="auto"/>
            </w:tcBorders>
            <w:vAlign w:val="center"/>
          </w:tcPr>
          <w:p w:rsidR="00C97EA5" w:rsidRPr="00143CE7" w:rsidRDefault="00C97EA5" w:rsidP="00616E88">
            <w:pPr>
              <w:rPr>
                <w:rFonts w:eastAsia="Calibri" w:cstheme="minorHAnsi"/>
                <w:sz w:val="20"/>
                <w:szCs w:val="20"/>
              </w:rPr>
            </w:pPr>
            <w:r w:rsidRPr="00143CE7">
              <w:rPr>
                <w:rFonts w:eastAsia="Calibri" w:cstheme="minorHAnsi"/>
                <w:sz w:val="20"/>
                <w:szCs w:val="20"/>
              </w:rPr>
              <w:t>17 ou 18/04/17 (96ª reunião da CTPNRH)</w:t>
            </w:r>
          </w:p>
        </w:tc>
      </w:tr>
      <w:tr w:rsidR="00C97EA5" w:rsidTr="00616E88">
        <w:tc>
          <w:tcPr>
            <w:tcW w:w="2811"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1.5. Formação do GT</w:t>
            </w:r>
          </w:p>
        </w:tc>
        <w:tc>
          <w:tcPr>
            <w:tcW w:w="6994"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jc w:val="both"/>
              <w:rPr>
                <w:rFonts w:eastAsia="Calibri" w:cstheme="minorHAnsi"/>
                <w:sz w:val="20"/>
                <w:szCs w:val="20"/>
              </w:rPr>
            </w:pPr>
            <w:r w:rsidRPr="00143CE7">
              <w:rPr>
                <w:rFonts w:eastAsia="Calibri" w:cstheme="minorHAnsi"/>
                <w:sz w:val="20"/>
                <w:szCs w:val="20"/>
              </w:rPr>
              <w:t>Formalização do GT segundo artigos 34º a 39º da Resolução 151 que estabelece o regimento interno do CNRH, considerando os interessados no âmbito da CTPOAR e da CTPNRH</w:t>
            </w:r>
          </w:p>
        </w:tc>
        <w:tc>
          <w:tcPr>
            <w:tcW w:w="1710"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CTPOAR e CTPNRH</w:t>
            </w:r>
          </w:p>
        </w:tc>
        <w:tc>
          <w:tcPr>
            <w:tcW w:w="1980"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Até 28/04/17</w:t>
            </w:r>
          </w:p>
        </w:tc>
      </w:tr>
      <w:tr w:rsidR="00C97EA5" w:rsidTr="00616E88">
        <w:tc>
          <w:tcPr>
            <w:tcW w:w="2811"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1.6. Consolidação do plano de trabalho do GT</w:t>
            </w:r>
          </w:p>
        </w:tc>
        <w:tc>
          <w:tcPr>
            <w:tcW w:w="6994"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jc w:val="both"/>
              <w:rPr>
                <w:rFonts w:eastAsia="Calibri" w:cstheme="minorHAnsi"/>
                <w:sz w:val="20"/>
                <w:szCs w:val="20"/>
              </w:rPr>
            </w:pPr>
            <w:r w:rsidRPr="00143CE7">
              <w:rPr>
                <w:rFonts w:eastAsia="Calibri" w:cstheme="minorHAnsi"/>
                <w:sz w:val="20"/>
                <w:szCs w:val="20"/>
              </w:rPr>
              <w:t>Discussão do Plano de Trabalho do GT e consolidação final</w:t>
            </w:r>
          </w:p>
        </w:tc>
        <w:tc>
          <w:tcPr>
            <w:tcW w:w="1710"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GT</w:t>
            </w:r>
          </w:p>
        </w:tc>
        <w:tc>
          <w:tcPr>
            <w:tcW w:w="1980"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Até 28/04/17</w:t>
            </w:r>
          </w:p>
        </w:tc>
      </w:tr>
      <w:tr w:rsidR="00C97EA5" w:rsidTr="00616E88">
        <w:tc>
          <w:tcPr>
            <w:tcW w:w="13495" w:type="dxa"/>
            <w:gridSpan w:val="4"/>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jc w:val="both"/>
              <w:rPr>
                <w:rFonts w:eastAsia="Calibri" w:cstheme="minorHAnsi"/>
                <w:sz w:val="20"/>
                <w:szCs w:val="20"/>
              </w:rPr>
            </w:pPr>
            <w:r w:rsidRPr="00143CE7">
              <w:rPr>
                <w:rFonts w:eastAsia="Calibri" w:cstheme="minorHAnsi"/>
                <w:b/>
                <w:sz w:val="20"/>
                <w:szCs w:val="20"/>
              </w:rPr>
              <w:t>2. Elaboração de minuta de resolução</w:t>
            </w:r>
          </w:p>
        </w:tc>
      </w:tr>
      <w:tr w:rsidR="00C97EA5" w:rsidTr="00616E88">
        <w:tc>
          <w:tcPr>
            <w:tcW w:w="2811"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 xml:space="preserve">2.1. Discussão e validação de diretrizes básicas </w:t>
            </w:r>
          </w:p>
        </w:tc>
        <w:tc>
          <w:tcPr>
            <w:tcW w:w="6994"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jc w:val="both"/>
              <w:rPr>
                <w:rFonts w:eastAsia="Calibri" w:cstheme="minorHAnsi"/>
                <w:sz w:val="20"/>
                <w:szCs w:val="20"/>
              </w:rPr>
            </w:pPr>
            <w:r w:rsidRPr="00143CE7">
              <w:rPr>
                <w:rFonts w:eastAsia="Calibri" w:cstheme="minorHAnsi"/>
                <w:sz w:val="20"/>
                <w:szCs w:val="20"/>
              </w:rPr>
              <w:t>Identificação de marcos legais/limitações jurídicas, pressupostos norteadores, abrangência e limites. Para esta atividade, será necessária uma ou mais reuniões presenciais que envolvam além dos membros do GT, convidados para abordar aspectos setoriais</w:t>
            </w:r>
          </w:p>
        </w:tc>
        <w:tc>
          <w:tcPr>
            <w:tcW w:w="1710"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GT e convidados indicados</w:t>
            </w:r>
          </w:p>
        </w:tc>
        <w:tc>
          <w:tcPr>
            <w:tcW w:w="1980"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Até 09/06/17</w:t>
            </w:r>
          </w:p>
        </w:tc>
      </w:tr>
      <w:tr w:rsidR="00C97EA5" w:rsidTr="00616E88">
        <w:tc>
          <w:tcPr>
            <w:tcW w:w="2811"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2.2. Elaboração de minuta</w:t>
            </w:r>
          </w:p>
        </w:tc>
        <w:tc>
          <w:tcPr>
            <w:tcW w:w="6994"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jc w:val="both"/>
              <w:rPr>
                <w:rFonts w:eastAsia="Calibri" w:cstheme="minorHAnsi"/>
                <w:sz w:val="20"/>
                <w:szCs w:val="20"/>
              </w:rPr>
            </w:pPr>
            <w:r w:rsidRPr="00143CE7">
              <w:rPr>
                <w:rFonts w:eastAsia="Calibri" w:cstheme="minorHAnsi"/>
                <w:sz w:val="20"/>
                <w:szCs w:val="20"/>
              </w:rPr>
              <w:t>Com base na etapa anterior, consolidação de premissas e elaboração de minuta, juntamente com parecer do GT</w:t>
            </w:r>
          </w:p>
        </w:tc>
        <w:tc>
          <w:tcPr>
            <w:tcW w:w="1710"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GT</w:t>
            </w:r>
          </w:p>
        </w:tc>
        <w:tc>
          <w:tcPr>
            <w:tcW w:w="1980"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Até 11/08/17</w:t>
            </w:r>
          </w:p>
        </w:tc>
      </w:tr>
      <w:tr w:rsidR="00C97EA5" w:rsidTr="00616E88">
        <w:tc>
          <w:tcPr>
            <w:tcW w:w="2811"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2.3. Discussão da minuta pelas Câmaras técnicas</w:t>
            </w:r>
          </w:p>
        </w:tc>
        <w:tc>
          <w:tcPr>
            <w:tcW w:w="6994"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jc w:val="both"/>
              <w:rPr>
                <w:rFonts w:eastAsia="Calibri" w:cstheme="minorHAnsi"/>
                <w:sz w:val="20"/>
                <w:szCs w:val="20"/>
              </w:rPr>
            </w:pPr>
            <w:r w:rsidRPr="00143CE7">
              <w:rPr>
                <w:rFonts w:eastAsia="Calibri" w:cstheme="minorHAnsi"/>
                <w:sz w:val="20"/>
                <w:szCs w:val="20"/>
              </w:rPr>
              <w:t>Apreciação e consolidação do parecer e da minuta em reunião conjunta da CTPOAR e CTPNRH</w:t>
            </w:r>
          </w:p>
        </w:tc>
        <w:tc>
          <w:tcPr>
            <w:tcW w:w="1710"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CTPOAR e CTPNRH</w:t>
            </w:r>
          </w:p>
        </w:tc>
        <w:tc>
          <w:tcPr>
            <w:tcW w:w="1980" w:type="dxa"/>
            <w:tcBorders>
              <w:top w:val="single" w:sz="4" w:space="0" w:color="auto"/>
              <w:left w:val="single" w:sz="4" w:space="0" w:color="auto"/>
              <w:bottom w:val="single" w:sz="4" w:space="0" w:color="auto"/>
              <w:right w:val="single" w:sz="4" w:space="0" w:color="auto"/>
            </w:tcBorders>
            <w:vAlign w:val="center"/>
            <w:hideMark/>
          </w:tcPr>
          <w:p w:rsidR="00C97EA5" w:rsidRPr="00143CE7" w:rsidRDefault="00C97EA5" w:rsidP="00616E88">
            <w:pPr>
              <w:rPr>
                <w:rFonts w:eastAsia="Calibri" w:cstheme="minorHAnsi"/>
                <w:sz w:val="20"/>
                <w:szCs w:val="20"/>
              </w:rPr>
            </w:pPr>
            <w:r w:rsidRPr="00143CE7">
              <w:rPr>
                <w:rFonts w:eastAsia="Calibri" w:cstheme="minorHAnsi"/>
                <w:sz w:val="20"/>
                <w:szCs w:val="20"/>
              </w:rPr>
              <w:t>Até 08/09/17</w:t>
            </w:r>
          </w:p>
        </w:tc>
      </w:tr>
    </w:tbl>
    <w:p w:rsidR="00C97EA5" w:rsidRDefault="00C97EA5" w:rsidP="00CC4CE1">
      <w:pPr>
        <w:ind w:firstLine="47"/>
        <w:rPr>
          <w:rFonts w:eastAsia="Calibri" w:cstheme="minorHAnsi"/>
          <w:b/>
          <w:sz w:val="20"/>
          <w:szCs w:val="20"/>
        </w:rPr>
      </w:pPr>
    </w:p>
    <w:p w:rsidR="00A9193E" w:rsidRPr="00A9193E" w:rsidRDefault="00A9193E" w:rsidP="00A9193E">
      <w:pPr>
        <w:shd w:val="clear" w:color="auto" w:fill="FFFFFF"/>
        <w:spacing w:after="0" w:line="240" w:lineRule="auto"/>
        <w:rPr>
          <w:rFonts w:ascii="Segoe UI" w:eastAsia="Times New Roman" w:hAnsi="Segoe UI" w:cs="Segoe UI"/>
          <w:color w:val="212121"/>
          <w:sz w:val="23"/>
          <w:szCs w:val="23"/>
        </w:rPr>
      </w:pPr>
      <w:r w:rsidRPr="00A9193E">
        <w:rPr>
          <w:rFonts w:ascii="Cambria" w:eastAsia="Times New Roman" w:hAnsi="Cambria" w:cs="Calibri"/>
          <w:color w:val="1F497D"/>
        </w:rPr>
        <w:t> </w:t>
      </w:r>
    </w:p>
    <w:p w:rsidR="00A9193E" w:rsidRPr="009D3DA7" w:rsidRDefault="00A9193E">
      <w:pPr>
        <w:rPr>
          <w:rFonts w:ascii="Calibri" w:eastAsia="Calibri" w:hAnsi="Calibri" w:cs="Calibri"/>
        </w:rPr>
      </w:pPr>
    </w:p>
    <w:sectPr w:rsidR="00A9193E" w:rsidRPr="009D3DA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E4517B"/>
    <w:multiLevelType w:val="hybridMultilevel"/>
    <w:tmpl w:val="25D6F5D2"/>
    <w:lvl w:ilvl="0" w:tplc="FD6013A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8D108C1"/>
    <w:multiLevelType w:val="hybridMultilevel"/>
    <w:tmpl w:val="F1804564"/>
    <w:lvl w:ilvl="0" w:tplc="4B823CB2">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D5B322A"/>
    <w:multiLevelType w:val="hybridMultilevel"/>
    <w:tmpl w:val="62780F4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145"/>
    <w:rsid w:val="00052CEF"/>
    <w:rsid w:val="00116778"/>
    <w:rsid w:val="0012521E"/>
    <w:rsid w:val="00143CE7"/>
    <w:rsid w:val="00192447"/>
    <w:rsid w:val="001A40DC"/>
    <w:rsid w:val="001A4884"/>
    <w:rsid w:val="0020387B"/>
    <w:rsid w:val="002664AE"/>
    <w:rsid w:val="002F261E"/>
    <w:rsid w:val="003C45E3"/>
    <w:rsid w:val="00581FA6"/>
    <w:rsid w:val="005F4145"/>
    <w:rsid w:val="006B20BA"/>
    <w:rsid w:val="006B34E3"/>
    <w:rsid w:val="00735AE6"/>
    <w:rsid w:val="008235E2"/>
    <w:rsid w:val="00842D62"/>
    <w:rsid w:val="008A2A64"/>
    <w:rsid w:val="00956670"/>
    <w:rsid w:val="009D3DA7"/>
    <w:rsid w:val="00A60BBC"/>
    <w:rsid w:val="00A9193E"/>
    <w:rsid w:val="00B37E1B"/>
    <w:rsid w:val="00B53077"/>
    <w:rsid w:val="00C459F4"/>
    <w:rsid w:val="00C97EA5"/>
    <w:rsid w:val="00CC4CE1"/>
    <w:rsid w:val="00D13E71"/>
    <w:rsid w:val="00D9504E"/>
    <w:rsid w:val="00F61070"/>
    <w:rsid w:val="00FB0302"/>
    <w:rsid w:val="00FE797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A5C046-78F2-48C4-8ABC-8EA971A75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8A2A64"/>
    <w:pPr>
      <w:ind w:left="720"/>
      <w:contextualSpacing/>
    </w:pPr>
  </w:style>
  <w:style w:type="table" w:styleId="Tabelacomgrade">
    <w:name w:val="Table Grid"/>
    <w:basedOn w:val="Tabelanormal"/>
    <w:uiPriority w:val="39"/>
    <w:rsid w:val="001252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61070"/>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F610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260300">
      <w:bodyDiv w:val="1"/>
      <w:marLeft w:val="0"/>
      <w:marRight w:val="0"/>
      <w:marTop w:val="0"/>
      <w:marBottom w:val="0"/>
      <w:divBdr>
        <w:top w:val="none" w:sz="0" w:space="0" w:color="auto"/>
        <w:left w:val="none" w:sz="0" w:space="0" w:color="auto"/>
        <w:bottom w:val="none" w:sz="0" w:space="0" w:color="auto"/>
        <w:right w:val="none" w:sz="0" w:space="0" w:color="auto"/>
      </w:divBdr>
      <w:divsChild>
        <w:div w:id="2146504431">
          <w:marLeft w:val="0"/>
          <w:marRight w:val="0"/>
          <w:marTop w:val="0"/>
          <w:marBottom w:val="0"/>
          <w:divBdr>
            <w:top w:val="none" w:sz="0" w:space="0" w:color="auto"/>
            <w:left w:val="none" w:sz="0" w:space="0" w:color="auto"/>
            <w:bottom w:val="none" w:sz="0" w:space="0" w:color="auto"/>
            <w:right w:val="none" w:sz="0" w:space="0" w:color="auto"/>
          </w:divBdr>
        </w:div>
        <w:div w:id="187603920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845</Words>
  <Characters>4565</Characters>
  <Application>Microsoft Office Word</Application>
  <DocSecurity>4</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Zeila</dc:creator>
  <cp:lastModifiedBy>Roseli dos Santos Souza</cp:lastModifiedBy>
  <cp:revision>2</cp:revision>
  <cp:lastPrinted>2017-04-06T17:25:00Z</cp:lastPrinted>
  <dcterms:created xsi:type="dcterms:W3CDTF">2017-04-06T19:28:00Z</dcterms:created>
  <dcterms:modified xsi:type="dcterms:W3CDTF">2017-04-06T19:28:00Z</dcterms:modified>
</cp:coreProperties>
</file>